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  <w:t>Umowa nr ...............................</w:t>
      </w:r>
    </w:p>
    <w:p w:rsidR="00FC050C" w:rsidRPr="00F3776B" w:rsidRDefault="00FC050C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</w:pPr>
      <w:bookmarkStart w:id="0" w:name="_GoBack"/>
      <w:bookmarkEnd w:id="0"/>
    </w:p>
    <w:p w:rsidR="00F3776B" w:rsidRPr="00F3776B" w:rsidRDefault="00FC050C" w:rsidP="00FC050C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zawarta w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dniu .......................................... w Raciborzu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pomiędzy: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Miastem Racibórz z siedzibą w Raciborzu przy ulicy Króla Stefana Batorego 6 reprezentowanym przez: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Dariusza Polowego – Prezydenta Miasta.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„Zamawiającym"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NIP 639-10-02-175 REGON 276258397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 z siedzibą w 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ul. ....................................................................................... reprezentowanym przez: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„Wykonawcą"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została zawarta umowa o następującej treści: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Przedmiot umowy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Przedmiotem niniejszej umowy jest wykonanie robót budowlanych dotyczących zadania pod nazwą : </w:t>
      </w:r>
    </w:p>
    <w:p w:rsidR="00874B48" w:rsidRDefault="00874B48" w:rsidP="00874B48">
      <w:pPr>
        <w:ind w:left="360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874B48">
        <w:rPr>
          <w:rFonts w:eastAsia="Calibri" w:cs="Times New Roman"/>
          <w:b/>
          <w:i/>
        </w:rPr>
        <w:t xml:space="preserve"> </w:t>
      </w:r>
      <w:r w:rsidRPr="00874B48">
        <w:rPr>
          <w:b/>
          <w:bCs/>
        </w:rPr>
        <w:t>Renowacja placu zabaw od strony ul. Solnej w Szkole Podstawowej nr 4, przy ul. Wojska Polskiego 8 w Raciborzu.</w:t>
      </w:r>
    </w:p>
    <w:p w:rsidR="00F3776B" w:rsidRPr="00F3776B" w:rsidRDefault="00F3776B" w:rsidP="00874B48">
      <w:pPr>
        <w:ind w:left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Opis przedmi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>otu zamówienia zawiera szczegółowy opis przedmiotu zamówienia tj. przedmiar robót i mapa poglądowa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2.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2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1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Obowiązki stron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 Strony umowy zobowiązane są do: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Współdziałania w realizacji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 Obowiązki Zamawiającego: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Przekazanie placu budowy.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Dokonywanie odbiorów wykonanych prac na zasadach określonych w § 6 niniejszej umowy.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bieżącego nadzoru inwestorskiego</w:t>
      </w:r>
      <w:r w:rsidR="00AD4C81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Udział w organizowanych przez Wykonawcę radach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3. Obowiązki Wykonawcy :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Prawidłowe wykonanie wszystkich robót związanych z realizacją przedmiotu umowy, zgodnie z warunkami umowy,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szczegółowym opisem przedmiotu zamówienia tj. przedmiarem robót i mapką poglądowa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oraz z aktualnie obowiązującymi normami i przepisami techniczno-budowlanymi, a także zasadami wiedzy technicznej i sztuką budowlaną.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Przejęcia placu budowy od Zamawiającego. 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Rozpoczęcie robót budowlanych w terminie do 14 dni od daty przejęcia placu budowy.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Zorganizowanie na własny koszt placu budowy, w tym: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oznakowanie i zabezpieczenie prowadzonych robót zgodnie z obowiązującymi przepisami prawa, w szczególności przepisami bhp oraz zgodnie z zaleceniami Zamawiającego,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wszystkich innych czynności niezbędnych do właściwego wykonania prac. </w:t>
      </w:r>
    </w:p>
    <w:p w:rsidR="00F3776B" w:rsidRPr="004D60CF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4D60CF">
        <w:rPr>
          <w:rFonts w:eastAsia="Times New Roman" w:cs="Times New Roman"/>
          <w:color w:val="000000"/>
          <w:sz w:val="20"/>
          <w:szCs w:val="2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Właściwe utrzymanie terenów wokół placu budowy oraz dróg dojazdowych w związku z prowadzoną inwestycją.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W przypadku korzystania z innych usług Zamawiającego ich zakres i sposób rozliczenia będzie przedmiotem odrębnej umowy.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Dostarczenie niezbędnych dokumentów potwierdzających, że parametry techniczne zastosowanych materiałów i urządzeń spełniają wymagania podane w dokumentacji projektowej i specyfikacjach technicznych wykonania i odbioru robót oraz przywołanych normach, przed ich zabudowaniem, do akceptacji Zamawiającemu.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Przeszkolenie w zakresie obsługi dostarczonych urządzeń i instalacji osób wskazanych przez użytkownika.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Jako wytwarzający odpady - zapewnienie przestrzegania przepisów prawa wynikających z następujących ustaw: 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Prawo ochrony środowiska,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odpadach,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utrzymaniu czystości i porządku w gminach,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Regulamin utrzymania czystości i porządku w gminie Racibórz 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left" w:pos="1134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Zapewnienie na własny koszt transportu odpadów do miejsca ich wykorzystania lub utylizacji, łącznie z kosztami utylizacji.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Uzgodnienie z Zamawiającym sposobu zagospodarowania materiałów z odzysku oraz zapewnienie </w:t>
      </w:r>
      <w:r w:rsidRPr="00F639C0">
        <w:rPr>
          <w:rFonts w:eastAsia="Times New Roman" w:cs="Times New Roman"/>
          <w:color w:val="000000"/>
          <w:lang w:eastAsia="pl-PL"/>
        </w:rPr>
        <w:t>na własny koszt ich transportu na miejsce składowania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Prowadzenie geodezyjnej obsługi budowy wraz z naniesieniem zmian powykonawczych do właściwego Zasobu Geodezyjnego </w:t>
      </w:r>
      <w:r w:rsidRPr="00F639C0">
        <w:rPr>
          <w:rFonts w:eastAsia="Times New Roman" w:cs="Times New Roman"/>
          <w:color w:val="000000"/>
          <w:sz w:val="20"/>
          <w:szCs w:val="20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kompletnej dokumentacji powykonawczej, w formie papierowej, w jednym egzemplarzu wraz z pomiarami geodezyjnymi powykonawczymi, i przekazanie jej Zamawiającemu.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Zapewnienie dozoru mienia na terenie robót 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Koordynacja prac realizowanych przez podwykonawców oraz organizowanie i kierowanie radami budowy w uzgodnieniu z Zamawiającym.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>
        <w:rPr>
          <w:rFonts w:eastAsia="Times New Roman" w:cs="Times New Roman"/>
          <w:color w:val="000000"/>
          <w:sz w:val="20"/>
          <w:szCs w:val="20"/>
          <w:lang w:eastAsia="pl-PL"/>
        </w:rPr>
        <w:t>, jeżeli jest wymagane.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Przestrzeganie obowiązujących przepisów prawa w szczególności bhp, ppoż. i ochrony środowiska.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CC5F6C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Utrzymanie porządku i czystości na placu budowy w czasie realizacji przedmiotu umowy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 xml:space="preserve">, </w:t>
      </w:r>
      <w:r w:rsidRPr="00CC5F6C">
        <w:rPr>
          <w:rFonts w:eastAsia="Times New Roman" w:cs="Times New Roman"/>
          <w:color w:val="000000"/>
          <w:lang w:eastAsia="pl-PL"/>
        </w:rPr>
        <w:t>na własny koszt.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szkody na budowie odpowiada Wykonawca.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gwarantuje dostarczenie na własny koszt materiałów pomocniczych do zabezpieczenia elementów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oświadcza, że zapoznał się z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opisem przedmiotu zamówienia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uznaje te dokumenty za wystarczającą podstawę do realizacji przedmiotu niniejszej umowy oraz nie wnosi uwag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co do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zakresu prac oraz stanu placu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 w:rsidRPr="00F3776B">
        <w:rPr>
          <w:rFonts w:eastAsia="Times New Roman" w:cs="Times New Roman"/>
          <w:color w:val="C9211E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2F1E47" w:rsidRDefault="00F3776B" w:rsidP="002F1E47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Zamawiającemu przysługuje prawo żądania zmiany kierownika budowy (robót), a w szczególności jeżeli ten realizuje roboty w sposób wadliwy, niezgodny z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opisem przedmiotu zamówienia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i obowiązującymi przepisami prawa lub też nie realizuje ustaleń i zaleceń dokonanych na radach budowy. 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F3776B" w:rsidRPr="00F3776B" w:rsidRDefault="00F3776B" w:rsidP="00F3776B">
      <w:pPr>
        <w:spacing w:after="0" w:line="240" w:lineRule="auto"/>
        <w:ind w:left="709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3</w:t>
      </w:r>
    </w:p>
    <w:p w:rsidR="00CC5F6C" w:rsidRDefault="00CC5F6C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Personel Wykonawcy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Przedstawicielem Wykonawcy na budowie są: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Pełniący obowiązki Kierownika Budowy lub robót …………………………………………….,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kierownika budowy, w trakcie realizacji przedmiotu niniejszej umowy, musi być uzasadniona przez Wykonawcę na piśmie i wymaga pisemnej akceptacji Zamawiającego.</w:t>
      </w:r>
    </w:p>
    <w:p w:rsidR="00E75501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........................................................................................................................................................</w:t>
      </w:r>
      <w:r w:rsidR="00CC5F6C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E75501" w:rsidRDefault="00E75501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E75501" w:rsidRDefault="00F3776B" w:rsidP="003E6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Osoba proponowana na zamianę winna posiadać uprawnienia co najmniej równoważne</w:t>
      </w:r>
      <w:r w:rsidR="00837D9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uprawnieniami osoby wymienionej w ofercie.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5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Wykonawca zobowiązany jest złożyć wykaz osób oddelegowanych do realizacji umowy wraz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oświadczeniem o tym, że są one zatrudnione na podstawie umowy o pracę w terminie 7 dni od daty zawarcia umowy. W przypadku opóźnienia w złożeniu wykazu Zamawiający naliczy karę umowną zgodnie z §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6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Każdorazowa zmiana wykazu osób, o których mowa w ust. 6 nie wymaga aneksu do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( Wykonawca przedstawia korektę listy osób oddelegowanych do wykonania niniejszej umowy do wiadomości Zamawiającego).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7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celu weryfikacji zatrudniania, przez wykonawcę lub podwykonawcę, na podstawie umowy o pracę, osób wykonujących wskazane przez zamawiającego czynności w zakresie realizacji zamówienia, zamawiający żąda w szczególności: 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1) oświadczenia zatrudnionego pracownika,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2) oświadczenia wykonawcy lub podwykonawcy o zatrudnieniu pracownika na podstawie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pracę,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3) poświadczonej za zgodność z oryginałem kopii umowy o pracę zatrudnionego pracownika,</w:t>
      </w:r>
    </w:p>
    <w:p w:rsid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4) innych dokumentów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E75501" w:rsidRPr="00F3776B" w:rsidRDefault="00E7550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4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Terminy wykonania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E75501" w:rsidRDefault="00F3776B" w:rsidP="00E75501">
      <w:pPr>
        <w:shd w:val="clear" w:color="auto" w:fill="FFFFFF"/>
        <w:spacing w:after="0" w:line="240" w:lineRule="auto"/>
        <w:ind w:firstLine="426"/>
        <w:jc w:val="both"/>
        <w:rPr>
          <w:rFonts w:eastAsia="Times New Roman" w:cs="Times New Roman"/>
          <w:b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Termin wykonania przedmiotu umowy ustala się 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na 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744D00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dni od dnia podpisania umowy</w:t>
      </w:r>
      <w:r w:rsidR="00E75501" w:rsidRPr="00E75501">
        <w:rPr>
          <w:rFonts w:eastAsia="Times New Roman" w:cs="Times New Roman"/>
          <w:b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E75501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E75501" w:rsidRPr="00F3776B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5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Odbiory</w:t>
      </w:r>
    </w:p>
    <w:p w:rsidR="00F3776B" w:rsidRPr="00F3776B" w:rsidRDefault="00F3776B" w:rsidP="00E75501">
      <w:pPr>
        <w:tabs>
          <w:tab w:val="left" w:pos="993"/>
        </w:tabs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8"/>
        </w:numPr>
        <w:shd w:val="clear" w:color="auto" w:fill="FFFFFF"/>
        <w:tabs>
          <w:tab w:val="clear" w:pos="1440"/>
          <w:tab w:val="num" w:pos="426"/>
          <w:tab w:val="left" w:pos="851"/>
        </w:tabs>
        <w:spacing w:after="0" w:line="240" w:lineRule="auto"/>
        <w:ind w:left="42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ustalają dla przedmiotu niniejszej umowy następujące rodzaje odbiorów: 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robót zanikowych i ulegających zakryciu,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częściowy,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końcowy,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pogwarancyjny i przed upływem okresu rękojmi.</w:t>
      </w:r>
    </w:p>
    <w:p w:rsidR="00F3776B" w:rsidRPr="00F3776B" w:rsidRDefault="00F3776B" w:rsidP="003E6706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 w szczególności: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Dziennika budowy,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left="1560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świadectw jakości, deklaracji zgodności, certyfikatów i atestów na zastosowane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zabudowane wyroby budowlane, materiały i urządzenia,</w:t>
      </w:r>
    </w:p>
    <w:p w:rsidR="00F3776B" w:rsidRPr="00C17F1E" w:rsidRDefault="00F3776B" w:rsidP="003E6706">
      <w:pPr>
        <w:pStyle w:val="Akapitzlist"/>
        <w:numPr>
          <w:ilvl w:val="3"/>
          <w:numId w:val="8"/>
        </w:numPr>
        <w:tabs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protokołów i zaświadczeń z przeprowadzonych przez Wykonawcę sprawdzeń, badań i prób,</w:t>
      </w:r>
    </w:p>
    <w:p w:rsidR="00F3776B" w:rsidRPr="00F3776B" w:rsidRDefault="00F3776B" w:rsidP="003E6706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podejmie czynności odbiorowe, o których mowa ust. 1 niniejszego paragrafu,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terminach, które wynoszą maksymalnie: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3 dni robocze dla robót zanikowych i ulegających zakryciu,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7 dni roboczych dla odbioru częściowego,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14 dni dla odbioru końcowego.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 upływem okresu gwarancyjnego i okresu rękojmi ustalonego w umowie.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i/>
          <w:iCs/>
          <w:color w:val="000000"/>
          <w:sz w:val="20"/>
          <w:szCs w:val="20"/>
          <w:lang w:eastAsia="pl-PL"/>
        </w:rPr>
        <w:t>Z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czynności odbioru częściowego będzie spisany „Protokół odbioru robót częściowych”.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Po bezskutecznym upływie terminu, o którym mowa w ust. 10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czynności odbioru końcowego będzie spisany „Protokół końcowy odbioru robót”.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Zakończenie czynności odbiorowych winno nastąpić najpóźniej 21 dnia licząc od dnia ich rozpoczęcia.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„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Protokół końcowy odbioru robót” ze strony Zamawiającego i Wykonawcy podpisują osoby upoważnione w obecności kierownika budowy i inspektora nadzoru.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dniem podpisania protokołu końcowego odbioru robót przechodzi na Zamawiającego ryzyko utraty lub uszkodzenia przedmiotu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toku czynności odbioru końcowego przedmiotu umowy zostaną stwierdzone: </w:t>
      </w:r>
    </w:p>
    <w:p w:rsidR="00F3776B" w:rsidRPr="00F3776B" w:rsidRDefault="00F3776B" w:rsidP="003E6706">
      <w:pPr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right="6"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Wady nadające się do usunięcia to: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nakazuje usunięcie wad wyznaczając odpowiedni termin na ich usunięcie, 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Wykonawca zgłosi pisemnie fakt usunięcia wad w terminie wyznaczonym przez Zamawiającego,</w:t>
      </w:r>
    </w:p>
    <w:p w:rsidR="00C17F1E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O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dbiór przedmiotu umowy po usunięciu wad nastąpi protokolarnie najpóźniej w terminie 3 dni od daty pisemnego zgłoszenia ich usunięcia przez Wykonawcę,</w:t>
      </w:r>
    </w:p>
    <w:p w:rsidR="00F3776B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134" w:right="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T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erminem odbioru końcowego zadania będzie termin spisania „Protokołu po usunięcia wad”.</w:t>
      </w:r>
    </w:p>
    <w:p w:rsidR="00F3776B" w:rsidRPr="00C17F1E" w:rsidRDefault="00F3776B" w:rsidP="003E6706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Wady nie nadające się do usunięcia to: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17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3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odszkodowań na zasadach określonych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C17F1E" w:rsidRDefault="00F3776B" w:rsidP="003E6706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terminie odbioru pogwarancyjnego Zamawiający powiadomi Wykonawcę pisemnie.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 odbiorowych spisany zostanie „Protokół odbioru pogwarancyjnego”. Brak uwag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Wyznaczony termin usunięcia wad może przekraczać okres gwarancji, odpowiednio rękojmi określony w umowie.</w:t>
      </w:r>
    </w:p>
    <w:p w:rsidR="00F3776B" w:rsidRPr="00C17F1E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F3776B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17F1E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6</w:t>
      </w:r>
    </w:p>
    <w:p w:rsidR="00F3776B" w:rsidRPr="00F3776B" w:rsidRDefault="00F3776B" w:rsidP="00C17F1E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Wynagrodzenie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DD11CF" w:rsidRDefault="00F3776B" w:rsidP="003E6706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Za wykonanie przedmiotu umowy strony ustalają wynagrodzenie w wysokości: ............................................ zł brutto.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(słownie: ..................................................................................................................)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w tym: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netto w wynosi .................................. zł. (słownie: 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podatek VAT w wysokości ............% co stanowi kwotę ......................... zł (słownie: ...................................................)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t xml:space="preserve">Wynagrodzenie określone w ust. 1 jest wynagrodzeniem ryczałtowym  i odpowiada zakresowi </w:t>
      </w:r>
      <w:r w:rsidR="00834155">
        <w:rPr>
          <w:rFonts w:eastAsia="Calibri" w:cs="Times New Roman"/>
          <w:color w:val="000000"/>
        </w:rPr>
        <w:t>zgodnie z przedmiarem robót i</w:t>
      </w:r>
      <w:r w:rsidRPr="00383CE0">
        <w:rPr>
          <w:rFonts w:eastAsia="Calibri" w:cs="Times New Roman"/>
          <w:color w:val="000000"/>
        </w:rPr>
        <w:t xml:space="preserve">  przedstawionemu w ofercie. Zawiera ono ponadto następujące koszty: </w:t>
      </w:r>
      <w:r w:rsidR="00874B48">
        <w:rPr>
          <w:rFonts w:eastAsia="Calibri" w:cs="Times New Roman"/>
          <w:color w:val="000000"/>
        </w:rPr>
        <w:t xml:space="preserve"> </w:t>
      </w:r>
      <w:r w:rsidRPr="00383CE0">
        <w:rPr>
          <w:rFonts w:eastAsia="Calibri" w:cs="Times New Roman"/>
          <w:color w:val="000000"/>
        </w:rPr>
        <w:t xml:space="preserve">wszelkie roboty przygotowawcze, porządkowe, organizację placu budowy wraz z późniejszą likwidacją, wszelkie koszty utrzymania zaplecza budowy, koszty związane  z odbiorami wykonanych robót, oraz inne koszty wynikające  z niniejszej umowy. </w:t>
      </w: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t>Rozliczanie przedmiotu umowy odbędzie się jednorazowo, po odbiorze końcowym robót.</w:t>
      </w:r>
    </w:p>
    <w:p w:rsidR="00F3776B" w:rsidRPr="00383CE0" w:rsidRDefault="00F3776B" w:rsidP="003E6706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383CE0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Postanowienia ust. 1 ÷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nie naruszają postanowień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5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niniejszej umowy. </w:t>
      </w:r>
    </w:p>
    <w:p w:rsidR="00F3776B" w:rsidRPr="00F3776B" w:rsidRDefault="00F3776B" w:rsidP="00383CE0">
      <w:pPr>
        <w:shd w:val="clear" w:color="auto" w:fill="FFFFFF"/>
        <w:tabs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7</w:t>
      </w:r>
    </w:p>
    <w:p w:rsidR="00F3776B" w:rsidRPr="00F3776B" w:rsidRDefault="00F3776B" w:rsidP="00DD11CF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Warunki płatności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uzasadnionych przypadkach termin płatności wymieniony w ust.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niniejszego paragrafu może zostać skrócony .</w:t>
      </w:r>
    </w:p>
    <w:p w:rsidR="00F3776B" w:rsidRPr="00383CE0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FF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upoważniają się wzajemnie do wystawiania faktur VAT bez podpisu ze swej strony jako odbiorcy faktur.</w:t>
      </w:r>
    </w:p>
    <w:p w:rsidR="00F3776B" w:rsidRPr="00F3776B" w:rsidRDefault="00917CB7" w:rsidP="00917CB7">
      <w:pPr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5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 razie opóźnienia w zapłacie wierzytelności pieniężnych przysługują odsetki ustawowe za </w:t>
      </w:r>
      <w:r w:rsidR="00383CE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opóźnienie.</w:t>
      </w:r>
    </w:p>
    <w:p w:rsidR="00F639C0" w:rsidRPr="00F3776B" w:rsidRDefault="00F639C0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8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Gwarancja i rękojmia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6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udziela Zamawiającemu 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60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miesięcznej gwarancji na wykonany przedmiot umowy licząc od dnia odbioru końcowego potwierdzonego „Protokołem końcowego odbioru robót”,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14 lub „Protokołem po usunięciu wad, o którym mowa w §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19 pkt.1 lit. d) niniejszej umowy. 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 w:rsidR="00383CE0" w:rsidRDefault="00383CE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 xml:space="preserve"> 9</w:t>
      </w:r>
    </w:p>
    <w:p w:rsid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Kary umowne</w:t>
      </w:r>
    </w:p>
    <w:p w:rsidR="00F639C0" w:rsidRPr="00F3776B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hanging="115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odstąpienie od umowy przez Zamawiającego lub niewykonanie umowy z przyczyn leżących po stronie Wykonawcy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przedłożeniu uwierzytelnionej kopii aktualnej polisy ubezpieczeniowej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wykonaniu określonego w umowie przedmiotu umowy lub jej części,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jednakże nie więcej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usunięciu wad stwierdzonych przy odbiorach, o których mowa w § 6 niniejszej umowy,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liczony od dnia wyznaczonego na usunięcie wad,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niewykonanie lub nieprawidłowe wykonanie umowy lub jej części, w wysokości 10% wynagrodzenia umownego brutto, z wyłączeniem nieprawidłowego wykonania umowy opisanego w pkt. 3) i 4) niniejszego paragrafu.</w:t>
      </w:r>
    </w:p>
    <w:p w:rsidR="00F3776B" w:rsidRPr="00F3776B" w:rsidRDefault="00917CB7" w:rsidP="009D05E6">
      <w:pPr>
        <w:tabs>
          <w:tab w:val="num" w:pos="1701"/>
        </w:tabs>
        <w:spacing w:after="0" w:line="240" w:lineRule="auto"/>
        <w:ind w:left="170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opóźnienie w przekazaniu terenu budowy lub jego umówionej części oraz uniemożliwienie rozpoczęcia budowy w wysokości 0,1 % wynagrodzenia określonego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umowy za każdy dzień zwłoki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  <w:r w:rsidRPr="00F3776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3776B" w:rsidRPr="00DD11CF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DD11CF" w:rsidRPr="00F3776B" w:rsidRDefault="00DD11CF" w:rsidP="00BA5476">
      <w:p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0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Zmiana postanowień umowy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przewiduje możliwość dokonania istotnych zmian postanowień zawartej umowy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stosunku do treści oferty, na podstawie której dokonano wyboru Wykonawcy, w zakresie: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Zmiany terminu wykonania zamówienia w następujących przypadkach:</w:t>
      </w:r>
    </w:p>
    <w:p w:rsidR="00F3776B" w:rsidRPr="00F3776B" w:rsidRDefault="00F3776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F3776B" w:rsidRDefault="00F3776B" w:rsidP="002F1E47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1.1.5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Protestów mieszkańców lub innych osób prawnych i fizycznych. W tym przypadku termin realizacji zadania zostanie wydłużony do czasu uzyskania ostatecznej decyzji rozstrzygającej protest.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1.1.6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Konieczność wykonania robót zamiennych o pracochłonności większej od robót pierwotnie przewidzianych do wykonania. Termin zostanie wydłużony o czas niezbędny na wykonanie tych robót. 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1.1.7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Pojawienia się na terenie budowy zewnętrznego inwestora prowadzącego roboty budowlane kolidujące, utrudniające bądź uniemożliwiające prowadzenie prac budowlanych objętych zawartą umową. Termin zostanie wydłużony o czas niezbędny na dokonanie uzgodnień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podpisanie porozumień umożliwiających realizację umowy.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1.1.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8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.Opóźnień w przyłączeniu do sieci zewnętrznych przez gestorów mediów, powstałych z przyczyn nie leżących po stronie Wykonawcy. Termin zostanie wydłużony o czas niezbędny na wykonanie przyłączy.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1.1.9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1.1.10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Powodu działań osób trzecich uniemożliwiających wykonanie przedmiotu umowy, które to działania nie są konsekwencją winy którejkolwiek ze Stron;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inne zmiany do umowy mogące skutkować zmianą wynagrodzenia i/lub terminu : </w:t>
      </w:r>
    </w:p>
    <w:p w:rsidR="00F3776B" w:rsidRPr="00F3776B" w:rsidRDefault="00E5162B" w:rsidP="00E5162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1.2.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.zmiany przepisów prawa istotnych dla postanowień zawartej umowy,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1.2.2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.poprawy jakości lub innych parametrów charakterystycznych dla danego elementu robot budowlanych, dostaw lub zmiana technologii,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1.2.3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akt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ualizacji rozwiązań technicznych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uwagi na postęp technologiczny bądź zmiany obowiązujących przepisów prawnych lub/i techniczno – budowlanych, konieczność opracowania ekspertyz, opinii archeologicznych.</w:t>
      </w:r>
    </w:p>
    <w:p w:rsidR="00F3776B" w:rsidRPr="00F3776B" w:rsidRDefault="00F3776B" w:rsidP="00F3776B">
      <w:pPr>
        <w:spacing w:after="0" w:line="240" w:lineRule="auto"/>
        <w:ind w:left="284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1.3. zmiany stawki podatku od towarów i usług oraz podatku akcyzowego: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1.3.1. w przypadku zwiększenia stawki podatku VAT - ceny jednostkowe netto nie mogą być wyższe niż zadeklarowane w kosztorysie ofertowym. Wartość wynagrodzenia brutto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ulegnie zmianie w okresie obowiązywania umowy.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 w:rsidR="00F3776B" w:rsidRPr="00F3776B" w:rsidRDefault="00F3776B" w:rsidP="00E5162B">
      <w:pPr>
        <w:spacing w:after="0" w:line="240" w:lineRule="auto"/>
        <w:ind w:left="1276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( umowy powyżej 12 miesięcy) </w:t>
      </w:r>
    </w:p>
    <w:p w:rsidR="00834155" w:rsidRDefault="00834155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F3776B" w:rsidRDefault="00F3776B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1.4. W pozostałym zakresie do zmian do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stosuje się art. 436 ustawy </w:t>
      </w:r>
      <w:proofErr w:type="spellStart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okoliczności skutkujących koniecznością zmiany umowy z przyczyn,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których mowa w ust. 1 niniejszego paragrafu Wykonawca zobowiązany jest do niezwłocznego poinformowania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tym fakcie Zamawiającego i wystąpienia z wnioskiem o dokonanie wskazanej zmiany.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Zmiana umowy powinna nastąpić w formie pisemnego aneksu podpisanego przez obie strony, pod rygorem nieważności takiego oświadczenia oraz powinna zawierać uzasadnienie faktyczne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prawne.</w:t>
      </w:r>
    </w:p>
    <w:p w:rsidR="00F3776B" w:rsidRPr="00F3776B" w:rsidRDefault="00BA5476" w:rsidP="00E5162B">
      <w:p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harmonogramu rzeczowo – finansowego nie wymaga zmiany niniejszej umowy.</w:t>
      </w:r>
    </w:p>
    <w:p w:rsidR="00E5162B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11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Odstąpienie od umowy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Zamawiającemu przysługuje prawo do odstąpienia od umowy w szczególności: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razie wystąpienia przesłanek z art. 456 ustawy prawo zamówień publicznych . 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nie rozpoczął robót bez uzasadnionych przyczyn w przeciągu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14 dni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od daty przekazania placu budowy oraz nie kontynuuje ich pomimo wezwania Zamawiającego złożonego na piśmie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-2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przerwał realizację robót i przerwa ta trwa dłużej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15 dni,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zastrzeżeniem po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>stanowień § 1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242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Wykonawcy przysługuje prawo odstąpienia od umowy w szczególności jeżeli: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przypadku odstąpienia od umowy, Wykonawcę oraz Zamawiającego obciążają następujące obowiązki szczegółowe: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W terminie 14 dni od daty odstąpienia od umowy Wykonawca przy udziale Zamawiającego sporządzi szczegółowy protokół inwentaryzacji robót w toku według stanu na dzień odstąpienia.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zabezpieczy przerwane roboty w zakresie obustronnie uzgodnionym na koszt tej strony, z której winy nastąpiło odstąpienie od umowy.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5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zgłosi do dokonania przez Zamawiającego odbioru robót przerwanych oraz robót zabezpieczających, 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Po wykonaniu czynności określonych w pkt 1- 5 Wykonawca wyda Zamawiającemu plac budowy,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czynności, o której mowa w pkt 6 sporządzony zostanie protokół. 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w razie odstąpienia od umowy z przyczyn, za które Wykonawca nie ponosi odpowiedzialności zobowiązany jest do: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Dokonania odbioru robót przerwanych oraz zapłaty wynagrodzenia za roboty, które zostały wykonane do dnia odstąpienia.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Przejęcia od Wykonawcy pod swój dozór terenu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12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Postanowienia końcowe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wyznaczają swoich przedstawicieli na budowie: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Zamawiający –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>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Wykonawca - ………………………………………………..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zobowiązuje się do: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wykorzystywania przekazanych informacji, o których mowa w pkt. 1 tylko w zakresie związanym z realizacją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podejmowania odpowiednich środków mających na celu ochronę wszelkich informacji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także po wygaśnięciu lub rozwiązaniu niniejszej umowy.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363" w:right="11" w:hanging="36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Wszelkie zmiany, rozwiązanie, odstąpienie od niniejszej umowy wymagają formy pisemnej pod rygorem nieważności.</w:t>
      </w: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Niniejszą umowę wraz z załącznikami sporządzono w dwóch jednobrzmiących egzemplarzach, po jednym egzemplarzu dla każdej ze stron.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lastRenderedPageBreak/>
        <w:t xml:space="preserve">Zamawiający </w:t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9D05E6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Pr="00F3776B">
        <w:rPr>
          <w:rFonts w:eastAsia="Times New Roman" w:cs="Times New Roman"/>
          <w:b/>
          <w:bCs/>
          <w:color w:val="000000"/>
          <w:lang w:eastAsia="pl-PL"/>
        </w:rPr>
        <w:t>Wykonawca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9D05E6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……………………………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…………………………………..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u w:val="single"/>
          <w:lang w:eastAsia="pl-PL"/>
        </w:rPr>
        <w:t>ZAŁĄCZNIKI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Kosztorys ofertowy Wykonawcy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Harmonogram rzeczowo-finansowy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Karta Gwarancyjna</w:t>
      </w:r>
    </w:p>
    <w:p w:rsidR="00F3776B" w:rsidRPr="00F3776B" w:rsidRDefault="00F3776B" w:rsidP="00F3776B">
      <w:pPr>
        <w:spacing w:after="0" w:line="240" w:lineRule="auto"/>
        <w:ind w:left="100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B25ED7" w:rsidRDefault="00B25ED7" w:rsidP="00F3776B">
      <w:pPr>
        <w:spacing w:after="0" w:line="240" w:lineRule="auto"/>
      </w:pPr>
    </w:p>
    <w:p w:rsidR="003E6706" w:rsidRDefault="003E6706" w:rsidP="00F3776B">
      <w:pPr>
        <w:spacing w:after="0" w:line="240" w:lineRule="auto"/>
      </w:pPr>
    </w:p>
    <w:sectPr w:rsidR="003E6706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360C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E608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1F624D8A"/>
    <w:lvl w:ilvl="0" w:tplc="20607528">
      <w:start w:val="1"/>
      <w:numFmt w:val="decimal"/>
      <w:lvlText w:val="%1)"/>
      <w:lvlJc w:val="left"/>
      <w:pPr>
        <w:ind w:left="18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4F666FB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C8D29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E9AADB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F5323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A7E8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7ED070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C9"/>
    <w:multiLevelType w:val="multilevel"/>
    <w:tmpl w:val="2842CF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E1A3E"/>
    <w:multiLevelType w:val="multilevel"/>
    <w:tmpl w:val="F8F68780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73DE4B9A"/>
    <w:multiLevelType w:val="multilevel"/>
    <w:tmpl w:val="49B64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376C5"/>
    <w:multiLevelType w:val="hybridMultilevel"/>
    <w:tmpl w:val="A27E248C"/>
    <w:lvl w:ilvl="0" w:tplc="600E77E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0788D"/>
    <w:multiLevelType w:val="multilevel"/>
    <w:tmpl w:val="2548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F1D4C"/>
    <w:multiLevelType w:val="multilevel"/>
    <w:tmpl w:val="F3303E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17"/>
  </w:num>
  <w:num w:numId="6">
    <w:abstractNumId w:val="5"/>
  </w:num>
  <w:num w:numId="7">
    <w:abstractNumId w:val="16"/>
  </w:num>
  <w:num w:numId="8">
    <w:abstractNumId w:val="27"/>
  </w:num>
  <w:num w:numId="9">
    <w:abstractNumId w:val="11"/>
  </w:num>
  <w:num w:numId="10">
    <w:abstractNumId w:val="14"/>
  </w:num>
  <w:num w:numId="11">
    <w:abstractNumId w:val="25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6"/>
  </w:num>
  <w:num w:numId="17">
    <w:abstractNumId w:val="18"/>
  </w:num>
  <w:num w:numId="18">
    <w:abstractNumId w:val="23"/>
  </w:num>
  <w:num w:numId="19">
    <w:abstractNumId w:val="7"/>
  </w:num>
  <w:num w:numId="20">
    <w:abstractNumId w:val="12"/>
  </w:num>
  <w:num w:numId="21">
    <w:abstractNumId w:val="13"/>
  </w:num>
  <w:num w:numId="22">
    <w:abstractNumId w:val="26"/>
  </w:num>
  <w:num w:numId="23">
    <w:abstractNumId w:val="24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97C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1E4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3891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4155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050C"/>
    <w:rsid w:val="00FC1645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6CDC"/>
  <w15:docId w15:val="{8245070A-FFA7-4886-BDB1-F892DA09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0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4779</Words>
  <Characters>28676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14</cp:revision>
  <cp:lastPrinted>2022-06-21T11:35:00Z</cp:lastPrinted>
  <dcterms:created xsi:type="dcterms:W3CDTF">2021-02-11T09:25:00Z</dcterms:created>
  <dcterms:modified xsi:type="dcterms:W3CDTF">2022-06-21T11:35:00Z</dcterms:modified>
</cp:coreProperties>
</file>