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0" w:after="276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16</w:t>
      </w:r>
      <w:r>
        <w:rPr>
          <w:rFonts w:ascii="Calibri" w:hAnsi="Calibri"/>
          <w:sz w:val="24"/>
          <w:szCs w:val="24"/>
        </w:rPr>
        <w:t>.2021</w:t>
        <w:br/>
        <w:t>OS.ZD-0352/22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05</w:t>
      </w:r>
      <w:r>
        <w:rPr>
          <w:rFonts w:ascii="Calibri" w:hAnsi="Calibri"/>
          <w:sz w:val="24"/>
          <w:szCs w:val="24"/>
        </w:rPr>
        <w:t>.04.2022r.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23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73 z późn. zm.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735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z późn. zm.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 toku postępowania w sprawie wydania decyzji o środowiskowych uwarunkowaniach przedsięwzięcia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pn. "Budowa bazy transportowej na terenie Zakładu Zagospodarowania Odpadów Sp. z o.o. w Raciborzu przy ul. Rybnickiej 125",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 opinię o braku konieczności przeprowadzenia oceny oddziaływania na środowisko wydali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Regionalny Dyrektor Ochrony Środowiska w Katowicach nr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WOOŚ.422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617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JKS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31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.03.2022r., Dyrektora Regionalnego Zarządu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Gospodarki Wodnej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 Gliwicach nr GL.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R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ZŚ.435.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104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KK3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19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.01.2022r. oraz Powiatow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y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Inspektor Sanitarn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y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 Raciborzu nr ONS/ZNS.9022.3.16.2021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28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.09.2021r. 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Tretekstu"/>
        <w:widowControl/>
        <w:shd w:val="clear" w:fill="FFFFFF"/>
        <w:suppressAutoHyphens w:val="true"/>
        <w:bidi w:val="0"/>
        <w:spacing w:lineRule="auto" w:line="276" w:before="513" w:after="673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color w:val="000000"/>
          <w:sz w:val="24"/>
          <w:szCs w:val="24"/>
          <w:shd w:fill="auto" w:val="clear"/>
          <w:lang w:eastAsia="pl-PL"/>
        </w:rPr>
        <w:tab/>
        <w:tab/>
        <w:tab/>
        <w:tab/>
        <w:tab/>
        <w:tab/>
        <w:tab/>
        <w:t>Z up. Prezydenta Miasta</w:t>
      </w:r>
      <w:r>
        <w:rPr>
          <w:rFonts w:ascii="Calibri" w:hAnsi="Calibri"/>
          <w:i/>
          <w:color w:val="000000"/>
          <w:sz w:val="20"/>
          <w:szCs w:val="20"/>
          <w:shd w:fill="auto" w:val="clear"/>
          <w:lang w:eastAsia="pl-PL"/>
        </w:rPr>
        <w:br/>
        <w:tab/>
        <w:tab/>
        <w:tab/>
        <w:tab/>
        <w:tab/>
        <w:tab/>
        <w:tab/>
        <w:t xml:space="preserve">          </w:t>
      </w:r>
      <w:r>
        <w:rPr>
          <w:rFonts w:ascii="Calibri" w:hAnsi="Calibri"/>
          <w:i/>
          <w:color w:val="000000"/>
          <w:sz w:val="24"/>
          <w:szCs w:val="24"/>
          <w:shd w:fill="auto" w:val="clear"/>
          <w:lang w:eastAsia="pl-PL"/>
        </w:rPr>
        <w:t>Katarzyna Polak</w:t>
      </w:r>
      <w:r>
        <w:rPr>
          <w:rFonts w:ascii="Calibri" w:hAnsi="Calibri"/>
          <w:i/>
          <w:color w:val="000000"/>
          <w:sz w:val="20"/>
          <w:szCs w:val="20"/>
          <w:shd w:fill="auto" w:val="clear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color w:val="000000"/>
          <w:sz w:val="24"/>
          <w:szCs w:val="24"/>
          <w:shd w:fill="auto" w:val="clear"/>
          <w:lang w:eastAsia="pl-PL"/>
        </w:rPr>
        <w:t>Naczelnik Wydziału Och</w:t>
      </w:r>
      <w:r>
        <w:rPr>
          <w:rFonts w:ascii="Calibri" w:hAnsi="Calibri"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Fonts w:ascii="Calibri" w:hAnsi="Calibri"/>
          <w:bCs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LibreOffice/7.1.2.2$Windows_X86_64 LibreOffice_project/8a45595d069ef5570103caea1b71cc9d82b2aae4</Application>
  <AppVersion>15.0000</AppVersion>
  <Pages>1</Pages>
  <Words>327</Words>
  <Characters>2066</Characters>
  <CharactersWithSpaces>2443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2022-04-06T12:44:49Z</dcterms:modified>
  <cp:revision>51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