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tabs>
          <w:tab w:val="clear" w:pos="6379"/>
          <w:tab w:val="left" w:pos="5895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</w:r>
    </w:p>
    <w:p>
      <w:pPr>
        <w:pStyle w:val="Nrsprawy"/>
        <w:tabs>
          <w:tab w:val="clear" w:pos="6379"/>
          <w:tab w:val="left" w:pos="5895" w:leader="none"/>
        </w:tabs>
        <w:spacing w:lineRule="auto" w:line="276" w:before="0" w:after="0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  <w:t>OG</w:t>
      </w:r>
      <w:r>
        <w:rPr>
          <w:rFonts w:cs="Times New Roman"/>
          <w:b w:val="false"/>
          <w:bCs w:val="false"/>
        </w:rPr>
        <w:t>ÓLNY SCHEMAT PROCEDURY KONTROLI</w:t>
      </w:r>
    </w:p>
    <w:p>
      <w:pPr>
        <w:pStyle w:val="Nrsprawy"/>
        <w:tabs>
          <w:tab w:val="clear" w:pos="6379"/>
          <w:tab w:val="left" w:pos="5895" w:leader="none"/>
        </w:tabs>
        <w:spacing w:lineRule="auto" w:line="276" w:before="12" w:after="732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  <w:t xml:space="preserve"> </w:t>
      </w:r>
      <w:r>
        <w:rPr>
          <w:rFonts w:cs="Times New Roman"/>
          <w:b w:val="false"/>
          <w:bCs w:val="false"/>
        </w:rPr>
        <w:t xml:space="preserve">PRZESTRZEGANIA ZASAD I WARUNKÓW KORZYSTANIA Z ZEZWOLEŃ  NA  SPRZEDAŻ NAPOJÓW ALKOHOLOWYCH </w:t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Na podstawie art. 47 ust. 3 ustawy z dnia 6 marca 2018 r. Prawo przedsiębiorców (tekst jedn.                Dz. U. z 2021 r. poz. 162) organ kontroli zamieszcza w Biuletynie Informacji Publicznej na stronie podmiotowej urzędu obsługującego organ ogólny schemat tych procedur kontroli, które wynikają z przepisów powszechnie obowiązującego prawa.</w:t>
      </w:r>
      <w:r>
        <w:rPr>
          <w:rFonts w:eastAsia="Times New Roman" w:cs="Times New Roman"/>
          <w:sz w:val="24"/>
          <w:szCs w:val="24"/>
        </w:rPr>
        <w:t xml:space="preserve">   </w:t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ZAKRES PRZEDMIOTOWY KONTROLI REALIZOWANY PRZEZ ORGAN KONTROLI:</w:t>
      </w:r>
    </w:p>
    <w:p>
      <w:pPr>
        <w:pStyle w:val="Normal"/>
        <w:spacing w:lineRule="auto" w:line="24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1. Kontrola przestrzegania zasad i warunków prowadzenia sprzedaży napojów alkoholowych.</w:t>
      </w:r>
      <w:r>
        <w:rPr>
          <w:sz w:val="24"/>
          <w:szCs w:val="24"/>
        </w:rPr>
        <w:br/>
      </w:r>
      <w:r>
        <w:rPr>
          <w:rFonts w:cs="Times New Roman"/>
          <w:sz w:val="24"/>
          <w:szCs w:val="24"/>
        </w:rPr>
        <w:t>2. Weryfikacja oświadczeń o wartości sprzedaży poszczególnych rodzajów napojów alkoholowych oraz opłat za korzystanie z zezwoleń.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PODSTAWA PRAWNA PRZEPROWADZENIA KONTROLI:</w:t>
      </w:r>
    </w:p>
    <w:p>
      <w:pPr>
        <w:pStyle w:val="Normal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eastAsia="Calibri" w:cs="Times New Roman" w:eastAsiaTheme="minorHAnsi"/>
          <w:color w:val="auto"/>
          <w:kern w:val="0"/>
          <w:sz w:val="24"/>
          <w:szCs w:val="24"/>
          <w:lang w:val="pl-PL" w:eastAsia="en-US" w:bidi="ar-SA"/>
        </w:rPr>
        <w:t>1.</w:t>
      </w:r>
      <w:r>
        <w:rPr>
          <w:rFonts w:cs="Times New Roman"/>
          <w:sz w:val="24"/>
          <w:szCs w:val="24"/>
        </w:rPr>
        <w:t xml:space="preserve"> Rozdział  5 ustawy z dnia 6 marca 2018 r. - Prawo przedsiębiorców (tekst jedn. Dz. U. z 2021 r. poz. 162); </w:t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2. Art. 11</w:t>
      </w:r>
      <w:r>
        <w:rPr>
          <w:rFonts w:cs="Times New Roman"/>
          <w:sz w:val="24"/>
          <w:szCs w:val="24"/>
          <w:vertAlign w:val="superscript"/>
        </w:rPr>
        <w:t>1,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,</w:t>
      </w:r>
      <w:r>
        <w:rPr>
          <w:rFonts w:cs="Times New Roman"/>
          <w:sz w:val="24"/>
          <w:szCs w:val="24"/>
          <w:vertAlign w:val="superscript"/>
        </w:rPr>
        <w:t xml:space="preserve"> 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a</w:t>
      </w:r>
      <w:r>
        <w:rPr>
          <w:rFonts w:cs="Times New Roman"/>
          <w:sz w:val="24"/>
          <w:szCs w:val="24"/>
        </w:rPr>
        <w:t>rt. 18 ust. 8 i art. 18</w:t>
      </w:r>
      <w:r>
        <w:rPr>
          <w:rFonts w:cs="Times New Roman"/>
          <w:sz w:val="24"/>
          <w:szCs w:val="24"/>
          <w:vertAlign w:val="superscript"/>
        </w:rPr>
        <w:t xml:space="preserve">3  </w:t>
      </w:r>
      <w:r>
        <w:rPr>
          <w:rFonts w:cs="Times New Roman"/>
          <w:sz w:val="24"/>
          <w:szCs w:val="24"/>
        </w:rPr>
        <w:t xml:space="preserve">ustawy z dnia 26 października 1982 r. o wychowaniu w trzeźwości i przeciwdziałaniu alkoholizmowi (tekst jedn. Dz. U. z 2021 r. poz. 1119 z późn. zm.).  </w:t>
      </w:r>
    </w:p>
    <w:p>
      <w:pPr>
        <w:pStyle w:val="Normal"/>
        <w:spacing w:lineRule="auto" w:line="240" w:before="57" w:after="217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KONTROLA PLANOWA</w:t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Opracowanie planu kontroli w oparciu o analizę prawdopodobieństwa naruszenia prawa                     w ramach wykonywanej działalności gospodarczej.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57" w:after="217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sz w:val="24"/>
          <w:szCs w:val="24"/>
        </w:rPr>
        <w:t>KONTROLA DORAŹNA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Przeprowadzenie kontroli doraźnych (kontroli interwencyjnych) tj. gdy przeprowadzenie kontroli jest uzasadnione zagrożeniem życia lub zdrowia, popełnieni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przestępstwa lub wykroczenia, popełnieni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przestępstwa skarbowego lub wykroczenia skarbowego, innego naruszenia prawnego zakazu lub niedopełnienia prawnego obowiązku.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ZAWIADOMIENIE O KONTROLI PLANOWEJ</w:t>
      </w:r>
    </w:p>
    <w:p>
      <w:pPr>
        <w:pStyle w:val="Normal"/>
        <w:spacing w:lineRule="auto" w:line="276" w:before="57" w:after="217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Pisemne zawiadomienie przedsiębiorcy o zamiarze wszczęcia kontroli ze wskazaniem terminu przeprowadzenia kontroli, z wyłączeniem przypadków określonych w art. 48 ust. 11 ustawy z dnia 6 marca 2018 r.  Prawo przedsiębiorców (tekst jedn. Dz. U. z 2021 r. poz. 162).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UPOWAŻNIENIE DO KONTROLI</w:t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Organ zezwalający lub, na podstawie jego upoważnienia, straż gminna lub członkowie gminnej komisji rozwiązywania problemów alkoholowych dokonują kontroli przestrzegania zasad i warunków korzystania z zezwolenia. 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Doręczenie upoważnienia do przeprowadzenia kontroli przedsiębiorcy lub osobie upoważnionej przez niego.</w:t>
      </w:r>
    </w:p>
    <w:p>
      <w:pPr>
        <w:pStyle w:val="Normal"/>
        <w:spacing w:lineRule="auto" w:line="276" w:before="57" w:after="217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CZYNNOŚCI KONTROLNE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Przeprowadzenie czynności kontrolnych w zakresie i czasie określonym w upoważnieniu do przeprowadzenia kontroli. Przeprowadzenie oględzin. Analiza udostępnionej dokumentacji                        i ewidencji.</w:t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ZAKOŃCZENIE KONTROLI</w:t>
      </w:r>
    </w:p>
    <w:p>
      <w:pPr>
        <w:pStyle w:val="Normal"/>
        <w:tabs>
          <w:tab w:val="clear" w:pos="709"/>
          <w:tab w:val="left" w:pos="5895" w:leader="none"/>
        </w:tabs>
        <w:spacing w:lineRule="auto" w:line="276" w:before="240" w:after="96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Sporządzenie protokołu kontroli zawierającego opis stanu faktycznego wraz ze wskazaniem ewentualnych nieprawidłowości. Postępowanie pokontrolne, np. postępowanie administracyjne w sprawie cofnięcia zezwoleń.     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Urząd Miasta Racibórz, ul. Króla Stefana Batorego 6, 47-400 Racibórz</w:t>
      <w:br/>
      <w:t>Wydział Spraw Obywatelskich, tel. +48 32 7550 613, e-mail:  obywatelski@um.raciborz.pl,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Urząd Miasta Racibórz, ul. Króla Stefana Batorego 6, 47-400 Racibórz</w:t>
      <w:br/>
      <w:t>Wydział Spraw Obywatelskich, tel. +48 32 7550 613, e-mail:  obywatelski@um.raciborz.pl,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next w:val="Tretekstu"/>
    <w:qFormat/>
    <w:pPr>
      <w:widowControl/>
      <w:suppressAutoHyphens w:val="true"/>
      <w:bidi w:val="0"/>
      <w:spacing w:before="140" w:after="120"/>
      <w:jc w:val="left"/>
      <w:outlineLvl w:val="2"/>
    </w:pPr>
    <w:rPr>
      <w:rFonts w:ascii="Liberation Serif" w:hAnsi="Liberation Serif" w:eastAsia="NSimSun" w:cs="Arial"/>
      <w:b/>
      <w:bCs/>
      <w:color w:val="auto"/>
      <w:kern w:val="2"/>
      <w:sz w:val="28"/>
      <w:szCs w:val="28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Czeinternetowe">
    <w:name w:val="Łącze internetowe"/>
    <w:rPr>
      <w:color w:val="0000FF"/>
      <w:u w:val="single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Domylnaczcionkaakapitu1">
    <w:name w:val="Domyślna czcionka akapitu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Domylnaczcionkaakapitu2">
    <w:name w:val="Domyślna czcionka akapitu2"/>
    <w:qFormat/>
    <w:rPr/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Podtytu">
    <w:name w:val="Subtitle"/>
    <w:next w:val="Tretekstu"/>
    <w:qFormat/>
    <w:pPr>
      <w:widowControl/>
      <w:suppressAutoHyphens w:val="true"/>
      <w:bidi w:val="0"/>
      <w:spacing w:before="60" w:after="120"/>
      <w:jc w:val="center"/>
    </w:pPr>
    <w:rPr>
      <w:rFonts w:ascii="Liberation Serif" w:hAnsi="Liberation Serif" w:eastAsia="NSimSun" w:cs="Arial"/>
      <w:color w:val="auto"/>
      <w:kern w:val="2"/>
      <w:sz w:val="36"/>
      <w:szCs w:val="36"/>
      <w:lang w:val="pl-PL" w:eastAsia="zh-CN" w:bidi="hi-IN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1">
    <w:name w:val="Tekst podstawowy 31"/>
    <w:basedOn w:val="Normal"/>
    <w:qFormat/>
    <w:pPr/>
    <w:rPr>
      <w:sz w:val="22"/>
    </w:rPr>
  </w:style>
  <w:style w:type="paragraph" w:styleId="Przypiskocowy">
    <w:name w:val="Endnote Text"/>
    <w:basedOn w:val="Normal"/>
    <w:pPr/>
    <w:rPr>
      <w:sz w:val="20"/>
      <w:szCs w:val="20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egenda1">
    <w:name w:val="Legenda1"/>
    <w:basedOn w:val="Normal"/>
    <w:next w:val="Normal"/>
    <w:qFormat/>
    <w:pPr>
      <w:jc w:val="center"/>
    </w:pPr>
    <w:rPr>
      <w:sz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"/>
    <w:basedOn w:val="Nagwek11"/>
    <w:next w:val="Tretekstu"/>
    <w:qFormat/>
    <w:pPr>
      <w:jc w:val="center"/>
    </w:pPr>
    <w:rPr>
      <w:b/>
      <w:bCs/>
      <w:sz w:val="56"/>
      <w:szCs w:val="56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LibreOffice/7.1.2.2$Windows_X86_64 LibreOffice_project/8a45595d069ef5570103caea1b71cc9d82b2aae4</Application>
  <AppVersion>15.0000</AppVersion>
  <Pages>2</Pages>
  <Words>380</Words>
  <Characters>2601</Characters>
  <CharactersWithSpaces>3097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2022-03-01T11:20:14Z</dcterms:modified>
  <cp:revision>42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